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8BE44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35DD862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5C0B6227">
      <w:pPr>
        <w:rPr>
          <w:rFonts w:ascii="仿宋" w:hAnsi="仿宋" w:eastAsia="仿宋"/>
          <w:sz w:val="28"/>
          <w:szCs w:val="28"/>
        </w:rPr>
      </w:pPr>
    </w:p>
    <w:p w14:paraId="3868EC3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科目代码：3013</w:t>
      </w:r>
    </w:p>
    <w:p w14:paraId="6B2EE4F3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科目名称：当代国际贸易理论</w:t>
      </w:r>
    </w:p>
    <w:p w14:paraId="49E4594B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8C6D7ED">
      <w:pPr>
        <w:spacing w:before="312" w:beforeLines="100" w:after="312" w:afterLines="100" w:line="38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 xml:space="preserve">第1部分 </w:t>
      </w:r>
      <w:r>
        <w:rPr>
          <w:rFonts w:hint="eastAsia" w:ascii="宋体" w:hAnsi="宋体"/>
          <w:b/>
          <w:sz w:val="24"/>
          <w:szCs w:val="24"/>
        </w:rPr>
        <w:t>完全竞争市场：</w:t>
      </w:r>
      <w:r>
        <w:rPr>
          <w:rFonts w:ascii="宋体" w:hAnsi="宋体"/>
          <w:b/>
          <w:sz w:val="24"/>
          <w:szCs w:val="24"/>
        </w:rPr>
        <w:t>国际贸易理论</w:t>
      </w:r>
      <w:r>
        <w:rPr>
          <w:rFonts w:hint="eastAsia" w:ascii="宋体" w:hAnsi="宋体"/>
          <w:b/>
          <w:sz w:val="24"/>
          <w:szCs w:val="24"/>
        </w:rPr>
        <w:t>与政策</w:t>
      </w:r>
    </w:p>
    <w:p w14:paraId="1B534E64">
      <w:pPr>
        <w:spacing w:before="312" w:beforeLines="100" w:after="312" w:afterLines="100" w:line="38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ascii="宋体" w:hAnsi="宋体"/>
          <w:sz w:val="24"/>
          <w:szCs w:val="24"/>
        </w:rPr>
        <w:t xml:space="preserve">章 </w:t>
      </w:r>
      <w:r>
        <w:rPr>
          <w:rFonts w:hint="eastAsia" w:ascii="宋体" w:hAnsi="宋体"/>
          <w:sz w:val="24"/>
          <w:szCs w:val="24"/>
        </w:rPr>
        <w:t>李嘉图模型（两个国家，两种产品，一个劳动要素）</w:t>
      </w:r>
    </w:p>
    <w:p w14:paraId="15204AAC">
      <w:pPr>
        <w:spacing w:before="312" w:beforeLines="100" w:after="312" w:afterLines="100" w:line="38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/>
          <w:sz w:val="24"/>
          <w:szCs w:val="24"/>
        </w:rPr>
        <w:t xml:space="preserve">章 </w:t>
      </w:r>
      <w:r>
        <w:rPr>
          <w:rFonts w:ascii="Times New Roman" w:hAnsi="Times New Roman"/>
          <w:sz w:val="24"/>
          <w:szCs w:val="24"/>
        </w:rPr>
        <w:t>DFS</w:t>
      </w:r>
      <w:r>
        <w:rPr>
          <w:rFonts w:hint="eastAsia" w:ascii="宋体" w:hAnsi="宋体"/>
          <w:sz w:val="24"/>
          <w:szCs w:val="24"/>
        </w:rPr>
        <w:t xml:space="preserve">模型（两个国家，多种产品，一个劳动要素） </w:t>
      </w:r>
    </w:p>
    <w:p w14:paraId="156BC74E">
      <w:pPr>
        <w:spacing w:before="312" w:beforeLines="100" w:after="312" w:afterLines="100" w:line="38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ascii="宋体" w:hAnsi="宋体"/>
          <w:sz w:val="24"/>
          <w:szCs w:val="24"/>
        </w:rPr>
        <w:t xml:space="preserve">章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hint="eastAsia"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hint="eastAsia" w:ascii="Times New Roman" w:hAnsi="Times New Roman"/>
          <w:sz w:val="24"/>
          <w:szCs w:val="24"/>
        </w:rPr>
        <w:t>模型（</w:t>
      </w:r>
      <w:r>
        <w:rPr>
          <w:rFonts w:hint="eastAsia" w:ascii="宋体" w:hAnsi="宋体"/>
          <w:sz w:val="24"/>
          <w:szCs w:val="24"/>
        </w:rPr>
        <w:t>多个国家，多种产品，一个劳动要素</w:t>
      </w:r>
      <w:r>
        <w:rPr>
          <w:rFonts w:hint="eastAsia" w:ascii="Times New Roman" w:hAnsi="Times New Roman"/>
          <w:sz w:val="24"/>
          <w:szCs w:val="24"/>
        </w:rPr>
        <w:t>）</w:t>
      </w:r>
    </w:p>
    <w:p w14:paraId="7D056DA5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4</w:t>
      </w:r>
      <w:r>
        <w:rPr>
          <w:rFonts w:ascii="宋体" w:hAnsi="宋体"/>
          <w:sz w:val="24"/>
          <w:szCs w:val="24"/>
        </w:rPr>
        <w:t>章 要素禀赋与赫克歇尔—俄林理论</w:t>
      </w:r>
    </w:p>
    <w:p w14:paraId="693AC8DC">
      <w:pPr>
        <w:spacing w:before="312" w:beforeLines="100" w:after="312" w:afterLines="100" w:line="38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</w:rPr>
        <w:t xml:space="preserve"> 斯托帕-萨缪尔逊、雷布金斯基效应及要素价格均等化定理推导</w:t>
      </w:r>
    </w:p>
    <w:p w14:paraId="354416E9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ascii="宋体" w:hAnsi="宋体"/>
          <w:sz w:val="24"/>
          <w:szCs w:val="24"/>
        </w:rPr>
        <w:t xml:space="preserve">章 </w:t>
      </w:r>
      <w:r>
        <w:rPr>
          <w:rFonts w:hint="eastAsia" w:ascii="宋体" w:hAnsi="宋体"/>
          <w:sz w:val="24"/>
          <w:szCs w:val="24"/>
        </w:rPr>
        <w:t>贸易政策工具运用理论</w:t>
      </w:r>
    </w:p>
    <w:p w14:paraId="1AD41E8D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sz w:val="24"/>
          <w:szCs w:val="24"/>
        </w:rPr>
        <w:t>章 小国的关税与配额及福利核算</w:t>
      </w:r>
    </w:p>
    <w:p w14:paraId="6C831235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</w:rPr>
        <w:t>章 大国的关税与配额及福利核算</w:t>
      </w:r>
    </w:p>
    <w:p w14:paraId="3DC1D33A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章 最优关税理论</w:t>
      </w:r>
    </w:p>
    <w:p w14:paraId="33E8F54F">
      <w:pPr>
        <w:spacing w:before="312" w:beforeLines="100" w:after="312" w:afterLines="100" w:line="38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</w:t>
      </w:r>
      <w:r>
        <w:rPr>
          <w:rFonts w:hint="eastAsia" w:ascii="宋体" w:hAnsi="宋体"/>
          <w:b/>
          <w:sz w:val="24"/>
          <w:szCs w:val="24"/>
        </w:rPr>
        <w:t>2</w:t>
      </w:r>
      <w:r>
        <w:rPr>
          <w:rFonts w:ascii="宋体" w:hAnsi="宋体"/>
          <w:b/>
          <w:sz w:val="24"/>
          <w:szCs w:val="24"/>
        </w:rPr>
        <w:t xml:space="preserve">部分 </w:t>
      </w:r>
      <w:r>
        <w:rPr>
          <w:rFonts w:hint="eastAsia" w:ascii="宋体" w:hAnsi="宋体"/>
          <w:b/>
          <w:sz w:val="24"/>
          <w:szCs w:val="24"/>
        </w:rPr>
        <w:t>不完全竞争市场：</w:t>
      </w:r>
      <w:r>
        <w:rPr>
          <w:rFonts w:ascii="宋体" w:hAnsi="宋体"/>
          <w:b/>
          <w:sz w:val="24"/>
          <w:szCs w:val="24"/>
        </w:rPr>
        <w:t>国际贸易理论</w:t>
      </w:r>
      <w:r>
        <w:rPr>
          <w:rFonts w:hint="eastAsia" w:ascii="宋体" w:hAnsi="宋体"/>
          <w:b/>
          <w:sz w:val="24"/>
          <w:szCs w:val="24"/>
        </w:rPr>
        <w:t>与政策</w:t>
      </w:r>
    </w:p>
    <w:p w14:paraId="26F79DE3">
      <w:pPr>
        <w:spacing w:before="312" w:beforeLines="100" w:after="312" w:afterLines="100" w:line="380" w:lineRule="exact"/>
        <w:rPr>
          <w:rFonts w:hint="eastAsia" w:ascii="Times New Roman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第1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规模经济与产品差异化的</w:t>
      </w:r>
      <w:r>
        <w:rPr>
          <w:rFonts w:ascii="Times New Roman" w:hAnsi="Times New Roman"/>
          <w:sz w:val="24"/>
          <w:szCs w:val="24"/>
        </w:rPr>
        <w:t>D—S</w:t>
      </w:r>
      <w:r>
        <w:rPr>
          <w:rFonts w:ascii="Times New Roman" w:hAnsi="宋体"/>
          <w:sz w:val="24"/>
          <w:szCs w:val="24"/>
        </w:rPr>
        <w:t>模型</w:t>
      </w:r>
      <w:r>
        <w:rPr>
          <w:rFonts w:hint="eastAsia" w:ascii="Times New Roman" w:hAnsi="宋体"/>
          <w:sz w:val="24"/>
          <w:szCs w:val="24"/>
        </w:rPr>
        <w:t>（1977）</w:t>
      </w:r>
    </w:p>
    <w:p w14:paraId="1B3BFEC9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第1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规模经济作用下的</w:t>
      </w:r>
      <w:r>
        <w:rPr>
          <w:rFonts w:ascii="Times New Roman" w:hAnsi="Times New Roman"/>
          <w:sz w:val="24"/>
          <w:szCs w:val="24"/>
        </w:rPr>
        <w:t>Keugman</w:t>
      </w:r>
      <w:r>
        <w:rPr>
          <w:rFonts w:hint="eastAsia" w:ascii="宋体" w:hAnsi="宋体"/>
          <w:sz w:val="24"/>
          <w:szCs w:val="24"/>
        </w:rPr>
        <w:t>模型（1979，1980）</w:t>
      </w:r>
    </w:p>
    <w:p w14:paraId="0E467559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</w:rPr>
        <w:t xml:space="preserve"> 异质工厂的</w:t>
      </w:r>
      <w:r>
        <w:rPr>
          <w:rFonts w:ascii="Times New Roman" w:hAnsi="Times New Roman"/>
          <w:sz w:val="24"/>
          <w:szCs w:val="24"/>
        </w:rPr>
        <w:t>Melitz</w:t>
      </w:r>
      <w:r>
        <w:rPr>
          <w:rFonts w:hint="eastAsia" w:ascii="宋体" w:hAnsi="宋体"/>
          <w:sz w:val="24"/>
          <w:szCs w:val="24"/>
        </w:rPr>
        <w:t>模型（2003）</w:t>
      </w:r>
    </w:p>
    <w:p w14:paraId="5D62D0AD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第1</w:t>
      </w: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异质工厂的</w:t>
      </w:r>
      <w:r>
        <w:rPr>
          <w:rFonts w:ascii="Times New Roman" w:hAnsi="Times New Roman"/>
          <w:sz w:val="24"/>
          <w:szCs w:val="24"/>
        </w:rPr>
        <w:t>EKK</w:t>
      </w:r>
      <w:r>
        <w:rPr>
          <w:rFonts w:hint="eastAsia" w:ascii="宋体" w:hAnsi="宋体"/>
          <w:sz w:val="24"/>
          <w:szCs w:val="24"/>
        </w:rPr>
        <w:t>模型（2011）</w:t>
      </w:r>
    </w:p>
    <w:p w14:paraId="27CB544C">
      <w:pPr>
        <w:spacing w:before="312" w:beforeLines="100" w:after="312" w:afterLines="100" w:line="380" w:lineRule="exact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第1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/>
          <w:sz w:val="24"/>
          <w:szCs w:val="24"/>
        </w:rPr>
        <w:t>章 垄断竞</w:t>
      </w:r>
      <w:r>
        <w:rPr>
          <w:rFonts w:hint="eastAsia" w:ascii="宋体" w:hAnsi="宋体"/>
          <w:sz w:val="24"/>
          <w:szCs w:val="24"/>
        </w:rPr>
        <w:t>争条件下的关税与配额工具使用</w:t>
      </w:r>
    </w:p>
    <w:p w14:paraId="2BB27FE3">
      <w:pPr>
        <w:spacing w:before="312" w:beforeLines="100" w:after="312" w:afterLines="100" w:line="380" w:lineRule="exact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第3部分  其他关于国际贸易的专门议题</w:t>
      </w:r>
    </w:p>
    <w:p w14:paraId="63642BB2">
      <w:pPr>
        <w:spacing w:before="312" w:beforeLines="100" w:after="312" w:afterLines="100" w:line="38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第1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国际资源</w:t>
      </w:r>
      <w:r>
        <w:rPr>
          <w:rFonts w:hint="eastAsia" w:ascii="宋体" w:hAnsi="宋体"/>
          <w:sz w:val="24"/>
          <w:szCs w:val="24"/>
        </w:rPr>
        <w:t>配置与多国生产</w:t>
      </w:r>
    </w:p>
    <w:p w14:paraId="399787A0">
      <w:pPr>
        <w:spacing w:before="312" w:beforeLines="100" w:after="312" w:afterLines="100" w:line="38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第1</w:t>
      </w:r>
      <w:r>
        <w:rPr>
          <w:rFonts w:hint="eastAsia" w:ascii="宋体" w:hAnsi="宋体"/>
          <w:sz w:val="24"/>
          <w:szCs w:val="24"/>
          <w:lang w:val="en-US" w:eastAsia="zh-CN"/>
        </w:rPr>
        <w:t>6</w:t>
      </w:r>
      <w:r>
        <w:rPr>
          <w:rFonts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z w:val="24"/>
          <w:szCs w:val="24"/>
        </w:rPr>
        <w:t>经济一体化：关税同盟与自由贸易区国际贸易与经济发展</w:t>
      </w:r>
    </w:p>
    <w:p w14:paraId="630687DC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第1</w:t>
      </w:r>
      <w:r>
        <w:rPr>
          <w:rFonts w:hint="eastAsia" w:ascii="宋体" w:hAnsi="宋体"/>
          <w:sz w:val="24"/>
          <w:szCs w:val="24"/>
          <w:lang w:val="en-US" w:eastAsia="zh-CN"/>
        </w:rPr>
        <w:t>7</w:t>
      </w:r>
      <w:r>
        <w:rPr>
          <w:rFonts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汇率传递对国际商品贸易的影响</w:t>
      </w:r>
    </w:p>
    <w:p w14:paraId="2EFDA634">
      <w:pPr>
        <w:spacing w:before="312" w:beforeLines="100" w:after="312" w:afterLines="100" w:line="38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第1</w:t>
      </w: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</w:rPr>
        <w:t xml:space="preserve"> 国际贸易与经济增长</w:t>
      </w:r>
    </w:p>
    <w:p w14:paraId="70532D76">
      <w:pPr>
        <w:spacing w:before="312" w:beforeLines="100" w:after="312" w:afterLines="100" w:line="380" w:lineRule="exact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第</w:t>
      </w:r>
      <w:r>
        <w:rPr>
          <w:rFonts w:hint="eastAsia" w:ascii="宋体" w:hAnsi="宋体"/>
          <w:b/>
          <w:sz w:val="24"/>
          <w:szCs w:val="24"/>
        </w:rPr>
        <w:t>4</w:t>
      </w:r>
      <w:r>
        <w:rPr>
          <w:rFonts w:ascii="宋体" w:hAnsi="宋体"/>
          <w:b/>
          <w:sz w:val="24"/>
          <w:szCs w:val="24"/>
        </w:rPr>
        <w:t>部分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b/>
          <w:sz w:val="24"/>
          <w:szCs w:val="24"/>
        </w:rPr>
        <w:t>开放经济宏观经济学与</w:t>
      </w:r>
      <w:r>
        <w:rPr>
          <w:rFonts w:hint="eastAsia" w:ascii="宋体" w:hAnsi="宋体"/>
          <w:b/>
          <w:sz w:val="24"/>
          <w:szCs w:val="24"/>
        </w:rPr>
        <w:t>经济政策</w:t>
      </w:r>
    </w:p>
    <w:p w14:paraId="142D3F82">
      <w:pPr>
        <w:spacing w:before="312" w:beforeLines="100" w:after="312" w:afterLines="100" w:line="38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  <w:lang w:val="en-US" w:eastAsia="zh-CN"/>
        </w:rPr>
        <w:t>19</w:t>
      </w:r>
      <w:r>
        <w:rPr>
          <w:rFonts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伯南克经济学</w:t>
      </w:r>
    </w:p>
    <w:p w14:paraId="57AABB17">
      <w:pPr>
        <w:spacing w:before="312" w:beforeLines="100" w:after="312" w:afterLines="100" w:line="380" w:lineRule="exac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治理萧条的政策工具</w:t>
      </w:r>
    </w:p>
    <w:p w14:paraId="2D3F4789">
      <w:pPr>
        <w:spacing w:before="312" w:beforeLines="100" w:after="312" w:afterLines="100" w:line="380" w:lineRule="exact"/>
        <w:rPr>
          <w:rFonts w:hint="eastAsia"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第</w:t>
      </w: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ascii="宋体" w:hAnsi="宋体"/>
          <w:sz w:val="24"/>
          <w:szCs w:val="24"/>
        </w:rPr>
        <w:t>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治理通胀的政策工具</w:t>
      </w:r>
    </w:p>
    <w:p w14:paraId="07199C54">
      <w:pPr>
        <w:spacing w:before="312" w:beforeLines="100" w:after="312" w:afterLines="100" w:line="380" w:lineRule="exac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第5部分 </w:t>
      </w:r>
      <w:bookmarkStart w:id="0" w:name="_GoBack"/>
      <w:bookmarkEnd w:id="0"/>
      <w:r>
        <w:rPr>
          <w:rFonts w:hint="eastAsia" w:ascii="宋体" w:hAnsi="宋体"/>
          <w:b/>
          <w:sz w:val="24"/>
          <w:szCs w:val="24"/>
        </w:rPr>
        <w:t>中国对外贸易理论与政策</w:t>
      </w:r>
    </w:p>
    <w:p w14:paraId="04007BB7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F553693-1383-422B-A24A-BEA8A6EB036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825FEF77-D2D0-4016-88CF-571D40A588E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5C63968-5E4A-49FB-B094-1C26B8B0EFC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7D6A90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2C5FB06F"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5BC7703D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2C5FB06F"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5BC7703D"/>
                </w:txbxContent>
              </v:textbox>
            </v:shape>
          </w:pict>
        </mc:Fallback>
      </mc:AlternateContent>
    </w:r>
  </w:p>
  <w:p w14:paraId="65EE032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8510EF1"/>
    <w:rsid w:val="0A86693C"/>
    <w:rsid w:val="0D6D5C6B"/>
    <w:rsid w:val="208757D7"/>
    <w:rsid w:val="36B32C31"/>
    <w:rsid w:val="388D1222"/>
    <w:rsid w:val="39B1357E"/>
    <w:rsid w:val="44BB092A"/>
    <w:rsid w:val="584601B1"/>
    <w:rsid w:val="5EAD7001"/>
    <w:rsid w:val="5F5406E3"/>
    <w:rsid w:val="693373EE"/>
    <w:rsid w:val="7282548D"/>
    <w:rsid w:val="73771240"/>
    <w:rsid w:val="788C4F8F"/>
    <w:rsid w:val="C37F42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5929EF-FA39-4215-A1C6-77D31BEC2F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515</Words>
  <Characters>569</Characters>
  <Lines>9</Lines>
  <Paragraphs>2</Paragraphs>
  <TotalTime>1</TotalTime>
  <ScaleCrop>false</ScaleCrop>
  <LinksUpToDate>false</LinksUpToDate>
  <CharactersWithSpaces>601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2016-09-11T01:23:00Z</dcterms:created>
  <dc:creator>Microsoft</dc:creator>
  <cp:lastModifiedBy>夭桃秾李</cp:lastModifiedBy>
  <dcterms:modified xsi:type="dcterms:W3CDTF">2025-11-20T06:51:50Z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F64B52BD11A04582A30B9D8C41D20FC9_13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